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6EB47" w14:textId="77777777" w:rsidR="00433B9C" w:rsidRPr="00011023" w:rsidRDefault="00433B9C" w:rsidP="00E26531">
      <w:pPr>
        <w:jc w:val="center"/>
        <w:rPr>
          <w:b/>
          <w:sz w:val="20"/>
          <w:szCs w:val="20"/>
          <w:lang w:val="es-MX"/>
        </w:rPr>
      </w:pPr>
      <w:r w:rsidRPr="00011023">
        <w:rPr>
          <w:b/>
          <w:sz w:val="20"/>
          <w:szCs w:val="20"/>
          <w:lang w:val="es-MX"/>
        </w:rPr>
        <w:t>Escuelas Públicas de Omaha</w:t>
      </w:r>
    </w:p>
    <w:p w14:paraId="0F4CE1CE" w14:textId="77777777" w:rsidR="00433B9C" w:rsidRPr="00011023" w:rsidRDefault="00433B9C" w:rsidP="00214272">
      <w:pPr>
        <w:jc w:val="center"/>
        <w:rPr>
          <w:b/>
          <w:sz w:val="20"/>
          <w:szCs w:val="20"/>
          <w:lang w:val="es-MX"/>
        </w:rPr>
      </w:pPr>
      <w:r w:rsidRPr="00011023">
        <w:rPr>
          <w:b/>
          <w:sz w:val="20"/>
          <w:szCs w:val="20"/>
          <w:lang w:val="es-MX"/>
        </w:rPr>
        <w:t>Política de Colaboración de Padres y Familias</w:t>
      </w:r>
    </w:p>
    <w:p w14:paraId="698CB734" w14:textId="77777777" w:rsidR="008B569B" w:rsidRPr="00E26531" w:rsidRDefault="008B569B" w:rsidP="00214272">
      <w:pPr>
        <w:jc w:val="center"/>
        <w:rPr>
          <w:sz w:val="16"/>
          <w:szCs w:val="16"/>
          <w:lang w:val="es-MX"/>
        </w:rPr>
      </w:pPr>
    </w:p>
    <w:p w14:paraId="449248FF" w14:textId="77777777" w:rsidR="00433B9C" w:rsidRPr="00E26531" w:rsidRDefault="00433B9C" w:rsidP="00214272">
      <w:pPr>
        <w:rPr>
          <w:sz w:val="16"/>
          <w:szCs w:val="16"/>
          <w:lang w:val="es-MX"/>
        </w:rPr>
      </w:pPr>
      <w:r w:rsidRPr="00E26531">
        <w:rPr>
          <w:sz w:val="16"/>
          <w:szCs w:val="16"/>
          <w:lang w:val="es-MX"/>
        </w:rPr>
        <w:t>Escuelas Públicas de Omaha tiene la intención de seguir la política de Participación de Padres del Título I de acuerdo con la ley federal, Sección 1116 (a-f) ESSA (Cada estudiante triunfa) de 2015.</w:t>
      </w:r>
    </w:p>
    <w:p w14:paraId="517C8DBB" w14:textId="77777777" w:rsidR="00EC63B7" w:rsidRPr="00E26531" w:rsidRDefault="00EC63B7" w:rsidP="00214272">
      <w:pPr>
        <w:rPr>
          <w:sz w:val="16"/>
          <w:szCs w:val="16"/>
          <w:lang w:val="es-MX"/>
        </w:rPr>
      </w:pPr>
    </w:p>
    <w:p w14:paraId="27F688D0" w14:textId="77777777" w:rsidR="00433B9C" w:rsidRPr="00E26531" w:rsidRDefault="00433B9C" w:rsidP="00214272">
      <w:pPr>
        <w:rPr>
          <w:b/>
          <w:sz w:val="16"/>
          <w:szCs w:val="16"/>
          <w:lang w:val="es-MX"/>
        </w:rPr>
      </w:pPr>
      <w:r w:rsidRPr="00E26531">
        <w:rPr>
          <w:b/>
          <w:sz w:val="16"/>
          <w:szCs w:val="16"/>
          <w:lang w:val="es-MX"/>
        </w:rPr>
        <w:t>En general</w:t>
      </w:r>
    </w:p>
    <w:p w14:paraId="37EB5FD7" w14:textId="77777777" w:rsidR="00433B9C" w:rsidRPr="00E26531" w:rsidRDefault="00433B9C" w:rsidP="00214272">
      <w:pPr>
        <w:rPr>
          <w:i/>
          <w:color w:val="A6A6A6" w:themeColor="background1" w:themeShade="A6"/>
          <w:sz w:val="16"/>
          <w:szCs w:val="16"/>
          <w:lang w:val="es-MX"/>
        </w:rPr>
      </w:pPr>
      <w:r w:rsidRPr="00E26531">
        <w:rPr>
          <w:sz w:val="16"/>
          <w:szCs w:val="16"/>
          <w:lang w:val="es-MX"/>
        </w:rPr>
        <w:t>La Política escrita de Participación del Padre y la Familia del distrito y el plan escolar se han desarrollado conjuntamente y, se actualizan periódicamente y se distribuyen a los padres, a los miembros de la familia y a la comunidad local en un formato comprensible y uniforme. Esta política acordada por padres describe los medios para llevar a cabo los requisitos que se enumeran a continuación.</w:t>
      </w:r>
      <w:r w:rsidRPr="00E26531">
        <w:rPr>
          <w:i/>
          <w:color w:val="A6A6A6" w:themeColor="background1" w:themeShade="A6"/>
          <w:sz w:val="16"/>
          <w:szCs w:val="16"/>
          <w:lang w:val="es-MX"/>
        </w:rPr>
        <w:t xml:space="preserve"> </w:t>
      </w:r>
    </w:p>
    <w:p w14:paraId="73036068" w14:textId="77777777" w:rsidR="006223FC" w:rsidRPr="00E26531" w:rsidRDefault="006223FC" w:rsidP="00214272">
      <w:pPr>
        <w:pStyle w:val="ListParagraph"/>
        <w:jc w:val="both"/>
        <w:rPr>
          <w:sz w:val="16"/>
          <w:szCs w:val="16"/>
          <w:lang w:val="es-MX"/>
        </w:rPr>
      </w:pPr>
    </w:p>
    <w:p w14:paraId="639659A9" w14:textId="07EA448C" w:rsidR="00666453" w:rsidRPr="00E26531" w:rsidRDefault="00433B9C" w:rsidP="00214272">
      <w:pPr>
        <w:pStyle w:val="ListParagraph"/>
        <w:numPr>
          <w:ilvl w:val="0"/>
          <w:numId w:val="10"/>
        </w:numPr>
        <w:ind w:left="216"/>
        <w:jc w:val="both"/>
        <w:rPr>
          <w:rFonts w:cs="Arial"/>
          <w:sz w:val="16"/>
          <w:szCs w:val="16"/>
          <w:lang w:val="es-MX"/>
        </w:rPr>
      </w:pPr>
      <w:r w:rsidRPr="00E26531">
        <w:rPr>
          <w:rFonts w:cs="Arial"/>
          <w:sz w:val="16"/>
          <w:szCs w:val="16"/>
          <w:lang w:val="es-MX"/>
        </w:rPr>
        <w:t xml:space="preserve">Los padres y familiares de todos los estudiantes son Bienvenidos y alentados a involucrarse con la escuela y educación de sus hijos; esto incluye a los padres y miembros de la familia que tienen un dominio limitado del inglés, alfabetización limitada, están en desventaja económica, tienen discapacidades, son minorías raciales o étnicas o son niños migratorios. La información relacionada con los programas escolares, reuniones de padres, informes escolares u otras actividades se envían a los padres de todos los niños en un formato, y lo más practico posible, en un idioma que los padres pueden entender. </w:t>
      </w:r>
    </w:p>
    <w:p w14:paraId="70139703" w14:textId="6E2C5400" w:rsidR="00A244D7" w:rsidRPr="00E26531" w:rsidRDefault="00A244D7" w:rsidP="00214272">
      <w:pPr>
        <w:jc w:val="center"/>
        <w:rPr>
          <w:color w:val="A6A6A6" w:themeColor="background1" w:themeShade="A6"/>
          <w:sz w:val="16"/>
          <w:szCs w:val="16"/>
          <w:lang w:val="es-MX"/>
        </w:rPr>
        <w:sectPr w:rsidR="00A244D7" w:rsidRPr="00E26531" w:rsidSect="006F0F01">
          <w:type w:val="continuous"/>
          <w:pgSz w:w="12240" w:h="15840"/>
          <w:pgMar w:top="1440" w:right="1440" w:bottom="1440" w:left="144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space="720"/>
          <w:docGrid w:linePitch="360"/>
        </w:sectPr>
      </w:pPr>
      <w:r w:rsidRPr="00E26531">
        <w:rPr>
          <w:color w:val="A6A6A6" w:themeColor="background1" w:themeShade="A6"/>
          <w:sz w:val="16"/>
          <w:szCs w:val="16"/>
          <w:lang w:val="es-MX"/>
        </w:rPr>
        <w:tab/>
      </w:r>
    </w:p>
    <w:p w14:paraId="5D980B8D" w14:textId="442E494B" w:rsidR="00433B9C" w:rsidRPr="00F916A6" w:rsidRDefault="00433B9C" w:rsidP="00214272">
      <w:pPr>
        <w:pStyle w:val="ListParagraph"/>
        <w:numPr>
          <w:ilvl w:val="1"/>
          <w:numId w:val="5"/>
        </w:numPr>
        <w:rPr>
          <w:b/>
          <w:bCs/>
          <w:color w:val="BFBFBF" w:themeColor="background1" w:themeShade="BF"/>
          <w:sz w:val="16"/>
          <w:szCs w:val="16"/>
          <w:lang w:val="es-MX"/>
        </w:rPr>
      </w:pPr>
      <w:r w:rsidRPr="00F916A6">
        <w:rPr>
          <w:b/>
          <w:bCs/>
          <w:color w:val="BFBFBF" w:themeColor="background1" w:themeShade="BF"/>
          <w:sz w:val="16"/>
          <w:szCs w:val="16"/>
          <w:lang w:val="es-MX"/>
        </w:rPr>
        <w:t>Noche de Regreso a Clases</w:t>
      </w:r>
    </w:p>
    <w:p w14:paraId="3EBE9232" w14:textId="0CAF9227" w:rsidR="00C8089B" w:rsidRPr="00F916A6" w:rsidRDefault="00C8089B" w:rsidP="00214272">
      <w:pPr>
        <w:pStyle w:val="ListParagraph"/>
        <w:numPr>
          <w:ilvl w:val="1"/>
          <w:numId w:val="5"/>
        </w:numPr>
        <w:rPr>
          <w:b/>
          <w:bCs/>
          <w:color w:val="BFBFBF" w:themeColor="background1" w:themeShade="BF"/>
          <w:sz w:val="16"/>
          <w:szCs w:val="16"/>
          <w:lang w:val="es-MX"/>
        </w:rPr>
      </w:pPr>
      <w:r w:rsidRPr="00F916A6">
        <w:rPr>
          <w:b/>
          <w:bCs/>
          <w:color w:val="BFBFBF" w:themeColor="background1" w:themeShade="BF"/>
          <w:sz w:val="16"/>
          <w:szCs w:val="16"/>
          <w:lang w:val="es-MX"/>
        </w:rPr>
        <w:t>Reuniones de</w:t>
      </w:r>
      <w:r w:rsidR="007037B8" w:rsidRPr="00F916A6">
        <w:rPr>
          <w:b/>
          <w:bCs/>
          <w:color w:val="BFBFBF" w:themeColor="background1" w:themeShade="BF"/>
          <w:sz w:val="16"/>
          <w:szCs w:val="16"/>
          <w:lang w:val="es-MX"/>
        </w:rPr>
        <w:t>l Comité de Asesores</w:t>
      </w:r>
    </w:p>
    <w:p w14:paraId="2EF41F05" w14:textId="724DCCAF" w:rsidR="00433B9C" w:rsidRPr="00F916A6" w:rsidRDefault="00433B9C" w:rsidP="00214272">
      <w:pPr>
        <w:pStyle w:val="ListParagraph"/>
        <w:numPr>
          <w:ilvl w:val="1"/>
          <w:numId w:val="5"/>
        </w:numPr>
        <w:rPr>
          <w:b/>
          <w:bCs/>
          <w:color w:val="BFBFBF" w:themeColor="background1" w:themeShade="BF"/>
          <w:sz w:val="16"/>
          <w:szCs w:val="16"/>
          <w:lang w:val="es-MX"/>
        </w:rPr>
      </w:pPr>
      <w:r w:rsidRPr="00F916A6">
        <w:rPr>
          <w:b/>
          <w:bCs/>
          <w:color w:val="BFBFBF" w:themeColor="background1" w:themeShade="BF"/>
          <w:sz w:val="16"/>
          <w:szCs w:val="16"/>
          <w:lang w:val="es-MX"/>
        </w:rPr>
        <w:t>Noche de Puertas Abiertas</w:t>
      </w:r>
      <w:r w:rsidR="00646761" w:rsidRPr="00F916A6">
        <w:rPr>
          <w:b/>
          <w:bCs/>
          <w:color w:val="BFBFBF" w:themeColor="background1" w:themeShade="BF"/>
          <w:sz w:val="16"/>
          <w:szCs w:val="16"/>
          <w:lang w:val="es-MX"/>
        </w:rPr>
        <w:t xml:space="preserve"> Escolar</w:t>
      </w:r>
      <w:r w:rsidR="007037B8" w:rsidRPr="00F916A6">
        <w:rPr>
          <w:b/>
          <w:bCs/>
          <w:color w:val="BFBFBF" w:themeColor="background1" w:themeShade="BF"/>
          <w:sz w:val="16"/>
          <w:szCs w:val="16"/>
          <w:lang w:val="es-MX"/>
        </w:rPr>
        <w:t>/ Noche Curricular</w:t>
      </w:r>
    </w:p>
    <w:p w14:paraId="73691128" w14:textId="77777777" w:rsidR="00433B9C" w:rsidRPr="00F916A6" w:rsidRDefault="00433B9C" w:rsidP="00214272">
      <w:pPr>
        <w:pStyle w:val="ListParagraph"/>
        <w:numPr>
          <w:ilvl w:val="1"/>
          <w:numId w:val="5"/>
        </w:numPr>
        <w:rPr>
          <w:b/>
          <w:bCs/>
          <w:color w:val="BFBFBF" w:themeColor="background1" w:themeShade="BF"/>
          <w:sz w:val="16"/>
          <w:szCs w:val="16"/>
          <w:lang w:val="es-MX"/>
        </w:rPr>
      </w:pPr>
      <w:r w:rsidRPr="00F916A6">
        <w:rPr>
          <w:b/>
          <w:bCs/>
          <w:color w:val="BFBFBF" w:themeColor="background1" w:themeShade="BF"/>
          <w:sz w:val="16"/>
          <w:szCs w:val="16"/>
          <w:lang w:val="es-MX"/>
        </w:rPr>
        <w:t>Título I Reunión Anual para Padres</w:t>
      </w:r>
    </w:p>
    <w:p w14:paraId="0B30ACFC" w14:textId="761888C0" w:rsidR="00433B9C" w:rsidRPr="00F916A6" w:rsidRDefault="00433B9C" w:rsidP="00214272">
      <w:pPr>
        <w:pStyle w:val="ListParagraph"/>
        <w:numPr>
          <w:ilvl w:val="1"/>
          <w:numId w:val="5"/>
        </w:numPr>
        <w:rPr>
          <w:b/>
          <w:bCs/>
          <w:color w:val="BFBFBF" w:themeColor="background1" w:themeShade="BF"/>
          <w:sz w:val="16"/>
          <w:szCs w:val="16"/>
          <w:lang w:val="es-MX"/>
        </w:rPr>
      </w:pPr>
      <w:r w:rsidRPr="00F916A6">
        <w:rPr>
          <w:b/>
          <w:bCs/>
          <w:color w:val="BFBFBF" w:themeColor="background1" w:themeShade="BF"/>
          <w:sz w:val="16"/>
          <w:szCs w:val="16"/>
          <w:lang w:val="es-MX"/>
        </w:rPr>
        <w:t>Conferencias de Padres</w:t>
      </w:r>
      <w:r w:rsidR="000708A2" w:rsidRPr="00F916A6">
        <w:rPr>
          <w:b/>
          <w:bCs/>
          <w:color w:val="BFBFBF" w:themeColor="background1" w:themeShade="BF"/>
          <w:sz w:val="16"/>
          <w:szCs w:val="16"/>
          <w:lang w:val="es-MX"/>
        </w:rPr>
        <w:t>-</w:t>
      </w:r>
      <w:r w:rsidRPr="00F916A6">
        <w:rPr>
          <w:b/>
          <w:bCs/>
          <w:color w:val="BFBFBF" w:themeColor="background1" w:themeShade="BF"/>
          <w:sz w:val="16"/>
          <w:szCs w:val="16"/>
          <w:lang w:val="es-MX"/>
        </w:rPr>
        <w:t>Maestros</w:t>
      </w:r>
    </w:p>
    <w:p w14:paraId="4876363F" w14:textId="603CA2E5" w:rsidR="00660FB1" w:rsidRPr="00F916A6" w:rsidRDefault="00660FB1" w:rsidP="00214272">
      <w:pPr>
        <w:pStyle w:val="ListParagraph"/>
        <w:numPr>
          <w:ilvl w:val="1"/>
          <w:numId w:val="5"/>
        </w:numPr>
        <w:rPr>
          <w:b/>
          <w:bCs/>
          <w:color w:val="BFBFBF" w:themeColor="background1" w:themeShade="BF"/>
          <w:sz w:val="16"/>
          <w:szCs w:val="16"/>
          <w:lang w:val="es-MX"/>
        </w:rPr>
      </w:pPr>
      <w:r w:rsidRPr="00F916A6">
        <w:rPr>
          <w:b/>
          <w:bCs/>
          <w:color w:val="BFBFBF" w:themeColor="background1" w:themeShade="BF"/>
          <w:sz w:val="16"/>
          <w:szCs w:val="16"/>
          <w:lang w:val="es-MX"/>
        </w:rPr>
        <w:t xml:space="preserve">Noche de Puertas Abiertas para alumnos del </w:t>
      </w:r>
      <w:r w:rsidR="00BA0676" w:rsidRPr="00F916A6">
        <w:rPr>
          <w:b/>
          <w:bCs/>
          <w:color w:val="BFBFBF" w:themeColor="background1" w:themeShade="BF"/>
          <w:sz w:val="16"/>
          <w:szCs w:val="16"/>
          <w:lang w:val="es-MX"/>
        </w:rPr>
        <w:t xml:space="preserve">octavo grado </w:t>
      </w:r>
    </w:p>
    <w:p w14:paraId="6DA1404E" w14:textId="5866D99D" w:rsidR="00433B9C" w:rsidRPr="00F916A6" w:rsidRDefault="00284C49" w:rsidP="00214272">
      <w:pPr>
        <w:pStyle w:val="ListParagraph"/>
        <w:numPr>
          <w:ilvl w:val="1"/>
          <w:numId w:val="5"/>
        </w:numPr>
        <w:rPr>
          <w:b/>
          <w:bCs/>
          <w:color w:val="BFBFBF" w:themeColor="background1" w:themeShade="BF"/>
          <w:sz w:val="16"/>
          <w:szCs w:val="16"/>
          <w:lang w:val="es-MX"/>
        </w:rPr>
      </w:pPr>
      <w:r w:rsidRPr="00F916A6">
        <w:rPr>
          <w:b/>
          <w:bCs/>
          <w:color w:val="BFBFBF" w:themeColor="background1" w:themeShade="BF"/>
          <w:sz w:val="16"/>
          <w:szCs w:val="16"/>
          <w:lang w:val="es-MX"/>
        </w:rPr>
        <w:t>Reuniones informativas sobre las Academias</w:t>
      </w:r>
    </w:p>
    <w:p w14:paraId="2BFAD9F5" w14:textId="679F5657" w:rsidR="00433B9C" w:rsidRPr="00F916A6" w:rsidRDefault="00433B9C" w:rsidP="00214272">
      <w:pPr>
        <w:pStyle w:val="ListParagraph"/>
        <w:numPr>
          <w:ilvl w:val="1"/>
          <w:numId w:val="5"/>
        </w:numPr>
        <w:rPr>
          <w:b/>
          <w:bCs/>
          <w:color w:val="BFBFBF" w:themeColor="background1" w:themeShade="BF"/>
          <w:sz w:val="16"/>
          <w:szCs w:val="16"/>
          <w:lang w:val="es-MX"/>
        </w:rPr>
      </w:pPr>
      <w:r w:rsidRPr="00F916A6">
        <w:rPr>
          <w:b/>
          <w:bCs/>
          <w:color w:val="BFBFBF" w:themeColor="background1" w:themeShade="BF"/>
          <w:sz w:val="16"/>
          <w:szCs w:val="16"/>
          <w:lang w:val="es-MX"/>
        </w:rPr>
        <w:t>Noche</w:t>
      </w:r>
      <w:r w:rsidR="00F926DE" w:rsidRPr="00F916A6">
        <w:rPr>
          <w:b/>
          <w:bCs/>
          <w:color w:val="BFBFBF" w:themeColor="background1" w:themeShade="BF"/>
          <w:sz w:val="16"/>
          <w:szCs w:val="16"/>
          <w:lang w:val="es-MX"/>
        </w:rPr>
        <w:t xml:space="preserve"> Familiar Latina</w:t>
      </w:r>
    </w:p>
    <w:p w14:paraId="1A83E7B5" w14:textId="30F73AFF" w:rsidR="00433B9C" w:rsidRPr="00F916A6" w:rsidRDefault="00A0726A" w:rsidP="00214272">
      <w:pPr>
        <w:pStyle w:val="ListParagraph"/>
        <w:numPr>
          <w:ilvl w:val="1"/>
          <w:numId w:val="5"/>
        </w:numPr>
        <w:rPr>
          <w:b/>
          <w:bCs/>
          <w:color w:val="BFBFBF" w:themeColor="background1" w:themeShade="BF"/>
          <w:sz w:val="16"/>
          <w:szCs w:val="16"/>
          <w:lang w:val="es-MX"/>
        </w:rPr>
      </w:pPr>
      <w:r w:rsidRPr="00F916A6">
        <w:rPr>
          <w:b/>
          <w:bCs/>
          <w:color w:val="BFBFBF" w:themeColor="background1" w:themeShade="BF"/>
          <w:sz w:val="16"/>
          <w:szCs w:val="16"/>
          <w:lang w:val="es-MX"/>
        </w:rPr>
        <w:t xml:space="preserve">Eventos de </w:t>
      </w:r>
      <w:r w:rsidR="00CA2DFF" w:rsidRPr="00F916A6">
        <w:rPr>
          <w:b/>
          <w:bCs/>
          <w:color w:val="BFBFBF" w:themeColor="background1" w:themeShade="BF"/>
          <w:sz w:val="16"/>
          <w:szCs w:val="16"/>
          <w:lang w:val="es-MX"/>
        </w:rPr>
        <w:t>participación para exalumnos</w:t>
      </w:r>
    </w:p>
    <w:p w14:paraId="1E0151C0" w14:textId="770BFC34" w:rsidR="004355BA" w:rsidRPr="00F916A6" w:rsidRDefault="00433B9C" w:rsidP="00214272">
      <w:pPr>
        <w:pStyle w:val="ListParagraph"/>
        <w:numPr>
          <w:ilvl w:val="1"/>
          <w:numId w:val="5"/>
        </w:numPr>
        <w:rPr>
          <w:b/>
          <w:bCs/>
          <w:color w:val="BFBFBF" w:themeColor="background1" w:themeShade="BF"/>
          <w:sz w:val="16"/>
          <w:szCs w:val="16"/>
          <w:lang w:val="es-MX"/>
        </w:rPr>
        <w:sectPr w:rsidR="004355BA" w:rsidRPr="00F916A6" w:rsidSect="006F0F01">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num="2" w:space="720"/>
          <w:docGrid w:linePitch="360"/>
        </w:sectPr>
      </w:pPr>
      <w:r w:rsidRPr="00F916A6">
        <w:rPr>
          <w:b/>
          <w:bCs/>
          <w:color w:val="BFBFBF" w:themeColor="background1" w:themeShade="BF"/>
          <w:sz w:val="16"/>
          <w:szCs w:val="16"/>
          <w:lang w:val="es-MX"/>
        </w:rPr>
        <w:t>Reuniones &amp; Actividades de la Asociación de Padres/Maestros</w:t>
      </w:r>
    </w:p>
    <w:p w14:paraId="19FA872E" w14:textId="77777777" w:rsidR="000E7B1E" w:rsidRPr="00E26531" w:rsidRDefault="000E7B1E" w:rsidP="00214272">
      <w:pPr>
        <w:jc w:val="both"/>
        <w:rPr>
          <w:rFonts w:cs="Arial"/>
          <w:sz w:val="16"/>
          <w:szCs w:val="16"/>
          <w:lang w:val="es-MX"/>
        </w:rPr>
      </w:pPr>
    </w:p>
    <w:p w14:paraId="729666C4" w14:textId="32852989" w:rsidR="000E7B1E" w:rsidRPr="00E26531" w:rsidRDefault="00433B9C" w:rsidP="00214272">
      <w:pPr>
        <w:pStyle w:val="ListParagraph"/>
        <w:numPr>
          <w:ilvl w:val="0"/>
          <w:numId w:val="23"/>
        </w:numPr>
        <w:rPr>
          <w:sz w:val="16"/>
          <w:szCs w:val="16"/>
          <w:lang w:val="es-MX"/>
        </w:rPr>
      </w:pPr>
      <w:r w:rsidRPr="00E26531">
        <w:rPr>
          <w:sz w:val="16"/>
          <w:szCs w:val="16"/>
          <w:lang w:val="es-MX"/>
        </w:rPr>
        <w:t>Los padres y miembros de la familia participan en la planificación, revisión y mejora del Programa Título I, la Política de Participación de Padres y Familia y el pacto entre Padres/Estudiantes/Escuela en una Reunión Anual de Padres que será programada en un momento conveniente. Esto incluiría la planificación e implementación de actividades efectivas de participación de los padres y la familia.</w:t>
      </w:r>
    </w:p>
    <w:p w14:paraId="39973C6B" w14:textId="77777777" w:rsidR="00433B9C" w:rsidRPr="00E26531" w:rsidRDefault="00433B9C" w:rsidP="00214272">
      <w:pPr>
        <w:pStyle w:val="ListParagraph"/>
        <w:ind w:left="900"/>
        <w:rPr>
          <w:sz w:val="16"/>
          <w:szCs w:val="16"/>
          <w:lang w:val="es-MX"/>
        </w:rPr>
      </w:pPr>
    </w:p>
    <w:p w14:paraId="0EF15428" w14:textId="49563426" w:rsidR="00D773D4" w:rsidRPr="00E26531" w:rsidRDefault="008220DD" w:rsidP="00214272">
      <w:pPr>
        <w:pStyle w:val="ListParagraph"/>
        <w:numPr>
          <w:ilvl w:val="0"/>
          <w:numId w:val="10"/>
        </w:numPr>
        <w:ind w:left="900" w:right="144"/>
        <w:jc w:val="both"/>
        <w:rPr>
          <w:rFonts w:cs="Arial"/>
          <w:sz w:val="16"/>
          <w:szCs w:val="16"/>
          <w:lang w:val="es-MX"/>
        </w:rPr>
      </w:pPr>
      <w:r w:rsidRPr="00E26531">
        <w:rPr>
          <w:rFonts w:cs="Arial"/>
          <w:sz w:val="16"/>
          <w:szCs w:val="16"/>
          <w:lang w:val="es-MX"/>
        </w:rPr>
        <w:t xml:space="preserve">Llevar a cabo, con una </w:t>
      </w:r>
      <w:r w:rsidRPr="00E26531">
        <w:rPr>
          <w:sz w:val="16"/>
          <w:szCs w:val="16"/>
          <w:lang w:val="es-MX"/>
        </w:rPr>
        <w:t>participación significativa de padres y familia, una evaluación anual del contenido y la eficacia de la Política de Participación de Padres y Familias. Usar los hallazgos de la evaluación para diseñar estrategias de participación más efectivas, y para revisar la Política de Participación de Padres y Familias.</w:t>
      </w:r>
    </w:p>
    <w:p w14:paraId="5B364C2F" w14:textId="77777777" w:rsidR="00666453" w:rsidRPr="00E26531" w:rsidRDefault="00666453" w:rsidP="00214272">
      <w:pPr>
        <w:pStyle w:val="ListParagraph"/>
        <w:ind w:left="1440"/>
        <w:jc w:val="both"/>
        <w:rPr>
          <w:rFonts w:cs="Arial"/>
          <w:color w:val="A6A6A6" w:themeColor="background1" w:themeShade="A6"/>
          <w:sz w:val="16"/>
          <w:szCs w:val="16"/>
          <w:lang w:val="es-MX"/>
        </w:rPr>
      </w:pPr>
    </w:p>
    <w:p w14:paraId="502F64D9" w14:textId="77777777" w:rsidR="00666453" w:rsidRPr="00E26531" w:rsidRDefault="008220DD" w:rsidP="00214272">
      <w:pPr>
        <w:pStyle w:val="ListParagraph"/>
        <w:numPr>
          <w:ilvl w:val="0"/>
          <w:numId w:val="10"/>
        </w:numPr>
        <w:ind w:left="900"/>
        <w:jc w:val="both"/>
        <w:rPr>
          <w:rFonts w:cs="Arial"/>
          <w:sz w:val="16"/>
          <w:szCs w:val="16"/>
          <w:lang w:val="es-MX"/>
        </w:rPr>
      </w:pPr>
      <w:r w:rsidRPr="00E26531">
        <w:rPr>
          <w:rFonts w:cs="Arial"/>
          <w:sz w:val="16"/>
          <w:szCs w:val="16"/>
          <w:lang w:val="es-MX"/>
        </w:rPr>
        <w:t xml:space="preserve">Se brindan oportunidades </w:t>
      </w:r>
      <w:r w:rsidRPr="00E26531">
        <w:rPr>
          <w:sz w:val="16"/>
          <w:szCs w:val="16"/>
          <w:lang w:val="es-MX"/>
        </w:rPr>
        <w:t xml:space="preserve">para que los padres y miembros de la familia participen, según corresponda, en las decisiones relacionadas con la educación de sus hijos. La escuela y agencias educativa local deberán proporcionar otro apoyo razonable para actividades de participación. </w:t>
      </w:r>
    </w:p>
    <w:p w14:paraId="26B727BC" w14:textId="77777777" w:rsidR="00214272" w:rsidRPr="00E26531" w:rsidRDefault="00214272" w:rsidP="00214272">
      <w:pPr>
        <w:jc w:val="both"/>
        <w:rPr>
          <w:rFonts w:cs="Arial"/>
          <w:sz w:val="16"/>
          <w:szCs w:val="16"/>
          <w:lang w:val="es-MX"/>
        </w:rPr>
      </w:pPr>
    </w:p>
    <w:p w14:paraId="502CDE14" w14:textId="2E547261" w:rsidR="003D0A9F" w:rsidRPr="00E26531" w:rsidRDefault="003D0A9F" w:rsidP="00214272">
      <w:pPr>
        <w:jc w:val="both"/>
        <w:rPr>
          <w:rFonts w:cs="Arial"/>
          <w:sz w:val="16"/>
          <w:szCs w:val="16"/>
          <w:lang w:val="es-MX"/>
        </w:rPr>
        <w:sectPr w:rsidR="003D0A9F" w:rsidRPr="00E26531" w:rsidSect="006F0F0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space="720"/>
        </w:sectPr>
      </w:pPr>
    </w:p>
    <w:p w14:paraId="757F44A9" w14:textId="77777777" w:rsidR="008220DD" w:rsidRPr="00F916A6" w:rsidRDefault="008220DD" w:rsidP="00214272">
      <w:pPr>
        <w:pStyle w:val="ListParagraph"/>
        <w:numPr>
          <w:ilvl w:val="1"/>
          <w:numId w:val="6"/>
        </w:numPr>
        <w:ind w:firstLine="360"/>
        <w:rPr>
          <w:b/>
          <w:bCs/>
          <w:color w:val="BFBFBF" w:themeColor="background1" w:themeShade="BF"/>
          <w:sz w:val="16"/>
          <w:szCs w:val="16"/>
          <w:lang w:val="es-MX"/>
        </w:rPr>
      </w:pPr>
      <w:r w:rsidRPr="00F916A6">
        <w:rPr>
          <w:b/>
          <w:bCs/>
          <w:color w:val="BFBFBF" w:themeColor="background1" w:themeShade="BF"/>
          <w:sz w:val="16"/>
          <w:szCs w:val="16"/>
          <w:lang w:val="es-MX"/>
        </w:rPr>
        <w:t>Encuesta Climática</w:t>
      </w:r>
    </w:p>
    <w:p w14:paraId="2A8D6A69" w14:textId="77777777" w:rsidR="008220DD" w:rsidRPr="00F916A6" w:rsidRDefault="008220DD" w:rsidP="00214272">
      <w:pPr>
        <w:pStyle w:val="ListParagraph"/>
        <w:numPr>
          <w:ilvl w:val="2"/>
          <w:numId w:val="24"/>
        </w:numPr>
        <w:rPr>
          <w:b/>
          <w:bCs/>
          <w:color w:val="BFBFBF" w:themeColor="background1" w:themeShade="BF"/>
          <w:sz w:val="16"/>
          <w:szCs w:val="16"/>
          <w:lang w:val="es-MX"/>
        </w:rPr>
      </w:pPr>
      <w:r w:rsidRPr="00F916A6">
        <w:rPr>
          <w:b/>
          <w:bCs/>
          <w:color w:val="BFBFBF" w:themeColor="background1" w:themeShade="BF"/>
          <w:sz w:val="16"/>
          <w:szCs w:val="16"/>
          <w:lang w:val="es-MX"/>
        </w:rPr>
        <w:t xml:space="preserve">Título I Reunión Anual de Padres </w:t>
      </w:r>
    </w:p>
    <w:p w14:paraId="04A6471D" w14:textId="77777777" w:rsidR="008220DD" w:rsidRPr="00F916A6" w:rsidRDefault="008220DD" w:rsidP="00214272">
      <w:pPr>
        <w:pStyle w:val="ListParagraph"/>
        <w:numPr>
          <w:ilvl w:val="2"/>
          <w:numId w:val="24"/>
        </w:numPr>
        <w:rPr>
          <w:b/>
          <w:bCs/>
          <w:color w:val="BFBFBF" w:themeColor="background1" w:themeShade="BF"/>
          <w:sz w:val="16"/>
          <w:szCs w:val="16"/>
          <w:lang w:val="es-MX"/>
        </w:rPr>
      </w:pPr>
      <w:r w:rsidRPr="00F916A6">
        <w:rPr>
          <w:b/>
          <w:bCs/>
          <w:color w:val="BFBFBF" w:themeColor="background1" w:themeShade="BF"/>
          <w:sz w:val="16"/>
          <w:szCs w:val="16"/>
          <w:lang w:val="es-MX"/>
        </w:rPr>
        <w:t>Reuniones del Comité</w:t>
      </w:r>
    </w:p>
    <w:p w14:paraId="7C35817A" w14:textId="77777777" w:rsidR="00D50776" w:rsidRPr="00F916A6" w:rsidRDefault="00D50776" w:rsidP="00214272">
      <w:pPr>
        <w:pStyle w:val="ListParagraph"/>
        <w:ind w:left="1800"/>
        <w:rPr>
          <w:b/>
          <w:bCs/>
          <w:color w:val="BFBFBF" w:themeColor="background1" w:themeShade="BF"/>
          <w:sz w:val="16"/>
          <w:szCs w:val="16"/>
        </w:rPr>
      </w:pPr>
    </w:p>
    <w:p w14:paraId="33E432FD" w14:textId="77777777" w:rsidR="008220DD" w:rsidRPr="00F916A6" w:rsidRDefault="008220DD" w:rsidP="00214272">
      <w:pPr>
        <w:pStyle w:val="ListParagraph"/>
        <w:numPr>
          <w:ilvl w:val="1"/>
          <w:numId w:val="6"/>
        </w:numPr>
        <w:rPr>
          <w:b/>
          <w:bCs/>
          <w:color w:val="BFBFBF" w:themeColor="background1" w:themeShade="BF"/>
          <w:sz w:val="16"/>
          <w:szCs w:val="16"/>
          <w:lang w:val="es-MX"/>
        </w:rPr>
      </w:pPr>
      <w:r w:rsidRPr="00F916A6">
        <w:rPr>
          <w:b/>
          <w:bCs/>
          <w:color w:val="BFBFBF" w:themeColor="background1" w:themeShade="BF"/>
          <w:sz w:val="16"/>
          <w:szCs w:val="16"/>
          <w:lang w:val="es-MX"/>
        </w:rPr>
        <w:t>Desarrollo del Plan de Mejora Escolar</w:t>
      </w:r>
    </w:p>
    <w:p w14:paraId="12B344F8" w14:textId="77777777" w:rsidR="008220DD" w:rsidRPr="00F916A6" w:rsidRDefault="008220DD" w:rsidP="00214272">
      <w:pPr>
        <w:pStyle w:val="ListParagraph"/>
        <w:numPr>
          <w:ilvl w:val="1"/>
          <w:numId w:val="6"/>
        </w:numPr>
        <w:rPr>
          <w:b/>
          <w:bCs/>
          <w:color w:val="BFBFBF" w:themeColor="background1" w:themeShade="BF"/>
          <w:sz w:val="16"/>
          <w:szCs w:val="16"/>
          <w:lang w:val="es-MX"/>
        </w:rPr>
      </w:pPr>
      <w:r w:rsidRPr="00F916A6">
        <w:rPr>
          <w:b/>
          <w:bCs/>
          <w:color w:val="BFBFBF" w:themeColor="background1" w:themeShade="BF"/>
          <w:sz w:val="16"/>
          <w:szCs w:val="16"/>
          <w:lang w:val="es-MX"/>
        </w:rPr>
        <w:t xml:space="preserve">Equipos de Asistencia Estudiantil </w:t>
      </w:r>
    </w:p>
    <w:p w14:paraId="52CD6A8C" w14:textId="77777777" w:rsidR="00D50776" w:rsidRPr="00E26531" w:rsidRDefault="00D50776" w:rsidP="00214272">
      <w:pPr>
        <w:rPr>
          <w:rFonts w:cs="Arial"/>
          <w:b/>
          <w:bCs/>
          <w:sz w:val="16"/>
          <w:szCs w:val="16"/>
        </w:rPr>
      </w:pPr>
    </w:p>
    <w:p w14:paraId="028A398F" w14:textId="33C2CA08" w:rsidR="007F7D2A" w:rsidRPr="00E26531" w:rsidRDefault="007F7D2A" w:rsidP="00214272">
      <w:pPr>
        <w:rPr>
          <w:rFonts w:cs="Arial"/>
          <w:sz w:val="16"/>
          <w:szCs w:val="16"/>
        </w:rPr>
        <w:sectPr w:rsidR="007F7D2A" w:rsidRPr="00E26531" w:rsidSect="006F0F01">
          <w:type w:val="continuous"/>
          <w:pgSz w:w="12240" w:h="15840"/>
          <w:pgMar w:top="720" w:right="720" w:bottom="720" w:left="72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num="2" w:space="720"/>
        </w:sectPr>
      </w:pPr>
    </w:p>
    <w:p w14:paraId="7E6B5552" w14:textId="77777777" w:rsidR="008220DD" w:rsidRPr="00E26531" w:rsidRDefault="008220DD" w:rsidP="00214272">
      <w:pPr>
        <w:pStyle w:val="ListParagraph"/>
        <w:numPr>
          <w:ilvl w:val="0"/>
          <w:numId w:val="21"/>
        </w:numPr>
        <w:rPr>
          <w:sz w:val="16"/>
          <w:szCs w:val="16"/>
          <w:lang w:val="es-MX"/>
        </w:rPr>
      </w:pPr>
      <w:r w:rsidRPr="00E26531">
        <w:rPr>
          <w:sz w:val="16"/>
          <w:szCs w:val="16"/>
          <w:lang w:val="es-MX"/>
        </w:rPr>
        <w:t xml:space="preserve">Los padres y familiares de todos los niños recibirán de manera oportuna información sobre los programas, una descripción y explicación del plan de estudios, las evaluaciones académicas utilizadas y los niveles de competencia en un formato, y cuando sea posible, en un idioma que los padres y los miembros de la familia pueden entender.    </w:t>
      </w:r>
    </w:p>
    <w:p w14:paraId="1D811F87" w14:textId="77777777" w:rsidR="005A6359" w:rsidRPr="00E26531" w:rsidRDefault="005A6359" w:rsidP="005A6359">
      <w:pPr>
        <w:rPr>
          <w:sz w:val="16"/>
          <w:szCs w:val="16"/>
          <w:lang w:val="es-MX"/>
        </w:rPr>
      </w:pPr>
    </w:p>
    <w:p w14:paraId="4BE52F69" w14:textId="0C330CDD" w:rsidR="005A6359" w:rsidRPr="00E26531" w:rsidRDefault="005A6359" w:rsidP="005A6359">
      <w:pPr>
        <w:rPr>
          <w:sz w:val="16"/>
          <w:szCs w:val="16"/>
          <w:lang w:val="es-MX"/>
        </w:rPr>
        <w:sectPr w:rsidR="005A6359" w:rsidRPr="00E26531" w:rsidSect="006F0F01">
          <w:type w:val="continuous"/>
          <w:pgSz w:w="12240" w:h="15840"/>
          <w:pgMar w:top="720" w:right="720" w:bottom="720" w:left="72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space="720"/>
          <w:docGrid w:linePitch="360"/>
        </w:sectPr>
      </w:pPr>
    </w:p>
    <w:p w14:paraId="69398F76" w14:textId="77777777" w:rsidR="008220DD" w:rsidRPr="00F916A6" w:rsidRDefault="008220DD" w:rsidP="00214272">
      <w:pPr>
        <w:pStyle w:val="ListParagraph"/>
        <w:numPr>
          <w:ilvl w:val="1"/>
          <w:numId w:val="21"/>
        </w:numPr>
        <w:rPr>
          <w:b/>
          <w:bCs/>
          <w:color w:val="BFBFBF" w:themeColor="background1" w:themeShade="BF"/>
          <w:sz w:val="16"/>
          <w:szCs w:val="16"/>
          <w:lang w:val="es-MX"/>
        </w:rPr>
      </w:pPr>
      <w:r w:rsidRPr="00F916A6">
        <w:rPr>
          <w:b/>
          <w:bCs/>
          <w:color w:val="BFBFBF" w:themeColor="background1" w:themeShade="BF"/>
          <w:sz w:val="16"/>
          <w:szCs w:val="16"/>
          <w:lang w:val="es-MX"/>
        </w:rPr>
        <w:t>El Código de Conducta Estudiantil</w:t>
      </w:r>
    </w:p>
    <w:p w14:paraId="2D221B46" w14:textId="30D64C01" w:rsidR="008220DD" w:rsidRPr="00F916A6" w:rsidRDefault="00646761" w:rsidP="00214272">
      <w:pPr>
        <w:pStyle w:val="ListParagraph"/>
        <w:numPr>
          <w:ilvl w:val="1"/>
          <w:numId w:val="21"/>
        </w:numPr>
        <w:rPr>
          <w:b/>
          <w:bCs/>
          <w:color w:val="BFBFBF" w:themeColor="background1" w:themeShade="BF"/>
          <w:sz w:val="16"/>
          <w:szCs w:val="16"/>
          <w:lang w:val="es-MX"/>
        </w:rPr>
      </w:pPr>
      <w:r w:rsidRPr="00F916A6">
        <w:rPr>
          <w:b/>
          <w:bCs/>
          <w:color w:val="BFBFBF" w:themeColor="background1" w:themeShade="BF"/>
          <w:sz w:val="16"/>
          <w:szCs w:val="16"/>
          <w:lang w:val="es-MX"/>
        </w:rPr>
        <w:t xml:space="preserve">Noche de Puestas Abiertas Escolar / </w:t>
      </w:r>
      <w:r w:rsidR="008220DD" w:rsidRPr="00F916A6">
        <w:rPr>
          <w:b/>
          <w:bCs/>
          <w:color w:val="BFBFBF" w:themeColor="background1" w:themeShade="BF"/>
          <w:sz w:val="16"/>
          <w:szCs w:val="16"/>
          <w:lang w:val="es-MX"/>
        </w:rPr>
        <w:t>Noche Curricular</w:t>
      </w:r>
    </w:p>
    <w:p w14:paraId="6D8AEAA9" w14:textId="363E2388" w:rsidR="008220DD" w:rsidRPr="00F916A6" w:rsidRDefault="008220DD" w:rsidP="00214272">
      <w:pPr>
        <w:pStyle w:val="ListParagraph"/>
        <w:numPr>
          <w:ilvl w:val="1"/>
          <w:numId w:val="21"/>
        </w:numPr>
        <w:rPr>
          <w:b/>
          <w:bCs/>
          <w:color w:val="BFBFBF" w:themeColor="background1" w:themeShade="BF"/>
          <w:sz w:val="16"/>
          <w:szCs w:val="16"/>
          <w:lang w:val="es-MX"/>
        </w:rPr>
      </w:pPr>
      <w:r w:rsidRPr="00F916A6">
        <w:rPr>
          <w:b/>
          <w:bCs/>
          <w:color w:val="BFBFBF" w:themeColor="background1" w:themeShade="BF"/>
          <w:sz w:val="16"/>
          <w:szCs w:val="16"/>
          <w:lang w:val="es-MX"/>
        </w:rPr>
        <w:t>Conferencias de Padres</w:t>
      </w:r>
      <w:r w:rsidR="000708A2" w:rsidRPr="00F916A6">
        <w:rPr>
          <w:b/>
          <w:bCs/>
          <w:color w:val="BFBFBF" w:themeColor="background1" w:themeShade="BF"/>
          <w:sz w:val="16"/>
          <w:szCs w:val="16"/>
          <w:lang w:val="es-MX"/>
        </w:rPr>
        <w:t>-</w:t>
      </w:r>
      <w:r w:rsidRPr="00F916A6">
        <w:rPr>
          <w:b/>
          <w:bCs/>
          <w:color w:val="BFBFBF" w:themeColor="background1" w:themeShade="BF"/>
          <w:sz w:val="16"/>
          <w:szCs w:val="16"/>
          <w:lang w:val="es-MX"/>
        </w:rPr>
        <w:t xml:space="preserve">Maestros </w:t>
      </w:r>
    </w:p>
    <w:p w14:paraId="3AA50A13" w14:textId="77777777" w:rsidR="008220DD" w:rsidRPr="00F916A6" w:rsidRDefault="008220DD" w:rsidP="00214272">
      <w:pPr>
        <w:pStyle w:val="ListParagraph"/>
        <w:numPr>
          <w:ilvl w:val="1"/>
          <w:numId w:val="21"/>
        </w:numPr>
        <w:ind w:left="1710"/>
        <w:rPr>
          <w:b/>
          <w:bCs/>
          <w:color w:val="BFBFBF" w:themeColor="background1" w:themeShade="BF"/>
          <w:sz w:val="16"/>
          <w:szCs w:val="16"/>
          <w:lang w:val="es-MX"/>
        </w:rPr>
      </w:pPr>
      <w:r w:rsidRPr="00F916A6">
        <w:rPr>
          <w:b/>
          <w:bCs/>
          <w:color w:val="BFBFBF" w:themeColor="background1" w:themeShade="BF"/>
          <w:sz w:val="16"/>
          <w:szCs w:val="16"/>
          <w:lang w:val="es-MX"/>
        </w:rPr>
        <w:t>Resultados de Exámenes Estandarizados</w:t>
      </w:r>
    </w:p>
    <w:p w14:paraId="2A95E2BF" w14:textId="4CCAC8ED" w:rsidR="00A244D7" w:rsidRPr="00F916A6" w:rsidRDefault="008220DD" w:rsidP="00214272">
      <w:pPr>
        <w:pStyle w:val="ListParagraph"/>
        <w:numPr>
          <w:ilvl w:val="0"/>
          <w:numId w:val="22"/>
        </w:numPr>
        <w:ind w:left="1710"/>
        <w:rPr>
          <w:b/>
          <w:bCs/>
          <w:color w:val="BFBFBF" w:themeColor="background1" w:themeShade="BF"/>
          <w:sz w:val="16"/>
          <w:szCs w:val="16"/>
          <w:lang w:val="es-MX"/>
        </w:rPr>
        <w:sectPr w:rsidR="00A244D7" w:rsidRPr="00F916A6" w:rsidSect="006F0F01">
          <w:type w:val="continuous"/>
          <w:pgSz w:w="12240" w:h="15840"/>
          <w:pgMar w:top="1440" w:right="1440" w:bottom="1440" w:left="144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num="2" w:space="144"/>
          <w:docGrid w:linePitch="360"/>
        </w:sectPr>
      </w:pPr>
      <w:r w:rsidRPr="00F916A6">
        <w:rPr>
          <w:b/>
          <w:bCs/>
          <w:color w:val="BFBFBF" w:themeColor="background1" w:themeShade="BF"/>
          <w:sz w:val="16"/>
          <w:szCs w:val="16"/>
          <w:lang w:val="es-MX"/>
        </w:rPr>
        <w:t>Informes de Progreso y Boleta de calificaciones</w:t>
      </w:r>
    </w:p>
    <w:p w14:paraId="3C423C2A" w14:textId="77777777" w:rsidR="00C82D40" w:rsidRPr="00E26531" w:rsidRDefault="00C82D40" w:rsidP="00214272">
      <w:pPr>
        <w:pStyle w:val="ListParagraph"/>
        <w:numPr>
          <w:ilvl w:val="0"/>
          <w:numId w:val="16"/>
        </w:numPr>
        <w:rPr>
          <w:rFonts w:cs="Arial"/>
          <w:color w:val="A6A6A6" w:themeColor="background1" w:themeShade="A6"/>
          <w:sz w:val="16"/>
          <w:szCs w:val="16"/>
          <w:lang w:val="es-MX"/>
        </w:rPr>
        <w:sectPr w:rsidR="00C82D40" w:rsidRPr="00E26531" w:rsidSect="006F0F01">
          <w:type w:val="continuous"/>
          <w:pgSz w:w="12240" w:h="15840"/>
          <w:pgMar w:top="720" w:right="720" w:bottom="720" w:left="72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num="2" w:space="720" w:equalWidth="0">
            <w:col w:w="5472" w:space="864"/>
            <w:col w:w="4464"/>
          </w:cols>
        </w:sectPr>
      </w:pPr>
    </w:p>
    <w:p w14:paraId="2ECBB9B0" w14:textId="77777777" w:rsidR="00366728" w:rsidRPr="00E26531" w:rsidRDefault="00366728" w:rsidP="00214272">
      <w:pPr>
        <w:pStyle w:val="ListParagraph"/>
        <w:numPr>
          <w:ilvl w:val="0"/>
          <w:numId w:val="16"/>
        </w:numPr>
        <w:rPr>
          <w:sz w:val="16"/>
          <w:szCs w:val="16"/>
          <w:lang w:val="es-MX"/>
        </w:rPr>
        <w:sectPr w:rsidR="00366728" w:rsidRPr="00E26531" w:rsidSect="006F0F01">
          <w:type w:val="continuous"/>
          <w:pgSz w:w="12240" w:h="15840"/>
          <w:pgMar w:top="720" w:right="720" w:bottom="720" w:left="72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space="720"/>
          <w:docGrid w:linePitch="360"/>
        </w:sectPr>
      </w:pPr>
      <w:r w:rsidRPr="00E26531">
        <w:rPr>
          <w:sz w:val="16"/>
          <w:szCs w:val="16"/>
          <w:lang w:val="es-MX"/>
        </w:rPr>
        <w:t>Educar a los maestros, personal de apoyo instructivo especializado, directores y otros líderes escolares, con la asistencia de los padres sobre el valor y la utilidad de las contribuciones de los padres, cómo llegar, comunicarse y trabajar con los padres como socios iguales.</w:t>
      </w:r>
    </w:p>
    <w:p w14:paraId="3F95B2E6" w14:textId="77777777" w:rsidR="000E7B1E" w:rsidRPr="00E26531" w:rsidRDefault="000E7B1E" w:rsidP="00214272">
      <w:pPr>
        <w:ind w:left="900" w:hanging="360"/>
        <w:rPr>
          <w:rFonts w:cs="Arial"/>
          <w:sz w:val="16"/>
          <w:szCs w:val="16"/>
          <w:lang w:val="es-MX"/>
        </w:rPr>
      </w:pPr>
    </w:p>
    <w:p w14:paraId="01B900BF" w14:textId="11D89A45" w:rsidR="00D50776" w:rsidRPr="00E26531" w:rsidRDefault="00366728" w:rsidP="00214272">
      <w:pPr>
        <w:pStyle w:val="ListParagraph"/>
        <w:numPr>
          <w:ilvl w:val="0"/>
          <w:numId w:val="17"/>
        </w:numPr>
        <w:ind w:left="900"/>
        <w:rPr>
          <w:rFonts w:cs="Arial"/>
          <w:sz w:val="16"/>
          <w:szCs w:val="16"/>
          <w:lang w:val="es-MX"/>
        </w:rPr>
      </w:pPr>
      <w:r w:rsidRPr="00E26531">
        <w:rPr>
          <w:rFonts w:cs="Arial"/>
          <w:sz w:val="16"/>
          <w:szCs w:val="16"/>
          <w:lang w:val="es-MX"/>
        </w:rPr>
        <w:t xml:space="preserve">Coordinar e integrar programas </w:t>
      </w:r>
      <w:r w:rsidRPr="00E26531">
        <w:rPr>
          <w:sz w:val="16"/>
          <w:szCs w:val="16"/>
          <w:lang w:val="es-MX"/>
        </w:rPr>
        <w:t>y actividades de participación de padres con otros programas federales, estatales y locales, incluyendo los programas preescolares que alientan y apoyan a los padres para que participen más en la educación de sus hijos. La escuela ofrecerá una cantidad flexible de reuniones.</w:t>
      </w:r>
    </w:p>
    <w:p w14:paraId="7A44DAC0" w14:textId="77777777" w:rsidR="005A6359" w:rsidRPr="00F916A6" w:rsidRDefault="005A6359" w:rsidP="005A6359">
      <w:pPr>
        <w:pStyle w:val="ListParagraph"/>
        <w:ind w:left="900"/>
        <w:rPr>
          <w:rFonts w:cs="Arial"/>
          <w:color w:val="BFBFBF" w:themeColor="background1" w:themeShade="BF"/>
          <w:sz w:val="16"/>
          <w:szCs w:val="16"/>
          <w:lang w:val="es-MX"/>
        </w:rPr>
      </w:pPr>
    </w:p>
    <w:p w14:paraId="5F0932A7" w14:textId="181F72F9" w:rsidR="00366728" w:rsidRPr="00F916A6" w:rsidRDefault="000708A2" w:rsidP="00214272">
      <w:pPr>
        <w:pStyle w:val="ListParagraph"/>
        <w:numPr>
          <w:ilvl w:val="0"/>
          <w:numId w:val="22"/>
        </w:numPr>
        <w:ind w:firstLine="0"/>
        <w:rPr>
          <w:rFonts w:cs="Arial"/>
          <w:b/>
          <w:bCs/>
          <w:color w:val="BFBFBF" w:themeColor="background1" w:themeShade="BF"/>
          <w:sz w:val="16"/>
          <w:szCs w:val="16"/>
          <w:lang w:val="es-MX"/>
        </w:rPr>
      </w:pPr>
      <w:r w:rsidRPr="00F916A6">
        <w:rPr>
          <w:rFonts w:cs="Arial"/>
          <w:b/>
          <w:bCs/>
          <w:color w:val="BFBFBF" w:themeColor="background1" w:themeShade="BF"/>
          <w:sz w:val="16"/>
          <w:szCs w:val="16"/>
          <w:lang w:val="es-MX"/>
        </w:rPr>
        <w:t>Aprendizaje de Siguiente Nivel (NLL)</w:t>
      </w:r>
    </w:p>
    <w:p w14:paraId="6FA791CB" w14:textId="287FF4A4" w:rsidR="00366728" w:rsidRPr="00F916A6" w:rsidRDefault="00366728" w:rsidP="00214272">
      <w:pPr>
        <w:pStyle w:val="ListParagraph"/>
        <w:numPr>
          <w:ilvl w:val="0"/>
          <w:numId w:val="22"/>
        </w:numPr>
        <w:ind w:firstLine="0"/>
        <w:rPr>
          <w:rFonts w:cs="Arial"/>
          <w:b/>
          <w:bCs/>
          <w:color w:val="BFBFBF" w:themeColor="background1" w:themeShade="BF"/>
          <w:sz w:val="16"/>
          <w:szCs w:val="16"/>
          <w:lang w:val="es-MX"/>
        </w:rPr>
      </w:pPr>
      <w:r w:rsidRPr="00F916A6">
        <w:rPr>
          <w:rFonts w:cs="Arial"/>
          <w:b/>
          <w:bCs/>
          <w:color w:val="BFBFBF" w:themeColor="background1" w:themeShade="BF"/>
          <w:sz w:val="16"/>
          <w:szCs w:val="16"/>
          <w:lang w:val="es-MX"/>
        </w:rPr>
        <w:t>Academias Universitarias y Trayectorias Profesionales con The Empowerment Network</w:t>
      </w:r>
    </w:p>
    <w:p w14:paraId="4FD90E7F" w14:textId="3B461711" w:rsidR="00B05FEF" w:rsidRPr="00F916A6" w:rsidRDefault="00B05FEF" w:rsidP="00214272">
      <w:pPr>
        <w:pStyle w:val="ListParagraph"/>
        <w:numPr>
          <w:ilvl w:val="0"/>
          <w:numId w:val="22"/>
        </w:numPr>
        <w:ind w:firstLine="0"/>
        <w:rPr>
          <w:rFonts w:cs="Arial"/>
          <w:b/>
          <w:bCs/>
          <w:color w:val="BFBFBF" w:themeColor="background1" w:themeShade="BF"/>
          <w:sz w:val="16"/>
          <w:szCs w:val="16"/>
          <w:lang w:val="es-MX"/>
        </w:rPr>
      </w:pPr>
      <w:r w:rsidRPr="00F916A6">
        <w:rPr>
          <w:rFonts w:cs="Arial"/>
          <w:b/>
          <w:bCs/>
          <w:color w:val="BFBFBF" w:themeColor="background1" w:themeShade="BF"/>
          <w:sz w:val="16"/>
          <w:szCs w:val="16"/>
          <w:lang w:val="es-MX"/>
        </w:rPr>
        <w:t>Reuniones Informativas para Familias</w:t>
      </w:r>
    </w:p>
    <w:p w14:paraId="3F0331D9" w14:textId="668335CA" w:rsidR="005A581C" w:rsidRPr="00F916A6" w:rsidRDefault="00366728" w:rsidP="00214272">
      <w:pPr>
        <w:pStyle w:val="ListParagraph"/>
        <w:numPr>
          <w:ilvl w:val="0"/>
          <w:numId w:val="22"/>
        </w:numPr>
        <w:ind w:firstLine="0"/>
        <w:rPr>
          <w:b/>
          <w:bCs/>
          <w:color w:val="BFBFBF" w:themeColor="background1" w:themeShade="BF"/>
          <w:sz w:val="16"/>
          <w:szCs w:val="16"/>
          <w:lang w:val="es-MX"/>
        </w:rPr>
      </w:pPr>
      <w:r w:rsidRPr="00F916A6">
        <w:rPr>
          <w:rFonts w:cs="Arial"/>
          <w:b/>
          <w:bCs/>
          <w:color w:val="BFBFBF" w:themeColor="background1" w:themeShade="BF"/>
          <w:sz w:val="16"/>
          <w:szCs w:val="16"/>
          <w:lang w:val="es-MX"/>
        </w:rPr>
        <w:t xml:space="preserve">Talleres </w:t>
      </w:r>
      <w:r w:rsidR="0000036C" w:rsidRPr="00F916A6">
        <w:rPr>
          <w:rFonts w:cs="Arial"/>
          <w:b/>
          <w:bCs/>
          <w:color w:val="BFBFBF" w:themeColor="background1" w:themeShade="BF"/>
          <w:sz w:val="16"/>
          <w:szCs w:val="16"/>
          <w:lang w:val="es-MX"/>
        </w:rPr>
        <w:t>de Apoyo Familiar</w:t>
      </w:r>
    </w:p>
    <w:p w14:paraId="789C2C91" w14:textId="5215BFF6" w:rsidR="005B0261" w:rsidRPr="00366728" w:rsidRDefault="005B0261" w:rsidP="00214272">
      <w:pPr>
        <w:rPr>
          <w:lang w:val="es-MX"/>
        </w:rPr>
      </w:pPr>
    </w:p>
    <w:sectPr w:rsidR="005B0261" w:rsidRPr="00366728" w:rsidSect="006F0F01">
      <w:headerReference w:type="default" r:id="rId19"/>
      <w:footerReference w:type="default" r:id="rId20"/>
      <w:type w:val="continuous"/>
      <w:pgSz w:w="12240" w:h="15840"/>
      <w:pgMar w:top="720" w:right="720" w:bottom="720" w:left="720" w:header="720" w:footer="720" w:gutter="0"/>
      <w:pgBorders w:offsetFrom="page">
        <w:top w:val="threeDEmboss" w:sz="24" w:space="24" w:color="auto" w:shadow="1"/>
        <w:left w:val="threeDEmboss" w:sz="24" w:space="24" w:color="auto" w:shadow="1"/>
        <w:bottom w:val="threeDEngrave" w:sz="24" w:space="24" w:color="auto" w:shadow="1"/>
        <w:right w:val="threeDEngrave" w:sz="2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A12C5" w14:textId="77777777" w:rsidR="00611E39" w:rsidRDefault="00611E39" w:rsidP="006B7555">
      <w:r>
        <w:separator/>
      </w:r>
    </w:p>
  </w:endnote>
  <w:endnote w:type="continuationSeparator" w:id="0">
    <w:p w14:paraId="1B6FAA1D" w14:textId="77777777" w:rsidR="00611E39" w:rsidRDefault="00611E39" w:rsidP="006B7555">
      <w:r>
        <w:continuationSeparator/>
      </w:r>
    </w:p>
  </w:endnote>
  <w:endnote w:type="continuationNotice" w:id="1">
    <w:p w14:paraId="4885C2A6" w14:textId="77777777" w:rsidR="00611E39" w:rsidRDefault="00611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E741" w14:textId="77777777" w:rsidR="00A244D7" w:rsidRDefault="00A2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9BEA0" w14:textId="77777777" w:rsidR="00A244D7" w:rsidRDefault="00A244D7">
    <w:pPr>
      <w:pStyle w:val="Footer"/>
    </w:pPr>
    <w:r>
      <w:rPr>
        <w:rFonts w:ascii="Times New Roman" w:hAnsi="Times New Roman" w:cs="Times New Roman"/>
        <w:noProof/>
        <w:sz w:val="24"/>
        <w:szCs w:val="24"/>
      </w:rPr>
      <w:drawing>
        <wp:anchor distT="0" distB="0" distL="114300" distR="114300" simplePos="0" relativeHeight="251657728" behindDoc="0" locked="0" layoutInCell="1" allowOverlap="1" wp14:anchorId="63571196" wp14:editId="1E4A957D">
          <wp:simplePos x="0" y="0"/>
          <wp:positionH relativeFrom="column">
            <wp:posOffset>-589663</wp:posOffset>
          </wp:positionH>
          <wp:positionV relativeFrom="paragraph">
            <wp:posOffset>-109064</wp:posOffset>
          </wp:positionV>
          <wp:extent cx="7228936" cy="340107"/>
          <wp:effectExtent l="19050" t="19050" r="10160" b="22225"/>
          <wp:wrapNone/>
          <wp:docPr id="4" name="Picture 4"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936" cy="340107"/>
                  </a:xfrm>
                  <a:prstGeom prst="rect">
                    <a:avLst/>
                  </a:prstGeom>
                  <a:noFill/>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1F08F" w14:textId="77777777" w:rsidR="00A244D7" w:rsidRDefault="00A24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9BF1" w14:textId="77777777" w:rsidR="00DD5798" w:rsidRDefault="00DD57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C4FB" w14:textId="77777777" w:rsidR="00DD5798" w:rsidRDefault="00DD57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8BD18" w14:textId="77777777" w:rsidR="00DD5798" w:rsidRDefault="00DD579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3BD4" w14:textId="77777777" w:rsidR="00DD5798" w:rsidRDefault="00DD5798">
    <w:pPr>
      <w:pStyle w:val="Footer"/>
    </w:pPr>
    <w:r>
      <w:rPr>
        <w:rFonts w:ascii="Times New Roman" w:hAnsi="Times New Roman" w:cs="Times New Roman"/>
        <w:noProof/>
        <w:sz w:val="24"/>
        <w:szCs w:val="24"/>
      </w:rPr>
      <w:drawing>
        <wp:anchor distT="0" distB="0" distL="114300" distR="114300" simplePos="0" relativeHeight="251656704" behindDoc="0" locked="0" layoutInCell="1" allowOverlap="1" wp14:anchorId="0907CC96" wp14:editId="0B404088">
          <wp:simplePos x="0" y="0"/>
          <wp:positionH relativeFrom="column">
            <wp:posOffset>-589663</wp:posOffset>
          </wp:positionH>
          <wp:positionV relativeFrom="paragraph">
            <wp:posOffset>-109064</wp:posOffset>
          </wp:positionV>
          <wp:extent cx="7228936" cy="340107"/>
          <wp:effectExtent l="19050" t="19050" r="10160" b="22225"/>
          <wp:wrapNone/>
          <wp:docPr id="1" name="Picture 1"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936" cy="340107"/>
                  </a:xfrm>
                  <a:prstGeom prst="rect">
                    <a:avLst/>
                  </a:prstGeom>
                  <a:noFill/>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5DD4A" w14:textId="77777777" w:rsidR="00611E39" w:rsidRDefault="00611E39" w:rsidP="006B7555">
      <w:r>
        <w:separator/>
      </w:r>
    </w:p>
  </w:footnote>
  <w:footnote w:type="continuationSeparator" w:id="0">
    <w:p w14:paraId="5B3041F2" w14:textId="77777777" w:rsidR="00611E39" w:rsidRDefault="00611E39" w:rsidP="006B7555">
      <w:r>
        <w:continuationSeparator/>
      </w:r>
    </w:p>
  </w:footnote>
  <w:footnote w:type="continuationNotice" w:id="1">
    <w:p w14:paraId="023FE0F9" w14:textId="77777777" w:rsidR="00611E39" w:rsidRDefault="00611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7ABF" w14:textId="77777777" w:rsidR="00A244D7" w:rsidRDefault="00A24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758239"/>
      <w:docPartObj>
        <w:docPartGallery w:val="Watermarks"/>
        <w:docPartUnique/>
      </w:docPartObj>
    </w:sdtPr>
    <w:sdtContent>
      <w:p w14:paraId="47D966EE" w14:textId="2861336B" w:rsidR="00A244D7" w:rsidRDefault="00433B9C">
        <w:pPr>
          <w:pStyle w:val="Header"/>
        </w:pPr>
        <w:r>
          <w:rPr>
            <w:noProof/>
          </w:rPr>
          <mc:AlternateContent>
            <mc:Choice Requires="wps">
              <w:drawing>
                <wp:anchor distT="0" distB="0" distL="114300" distR="114300" simplePos="0" relativeHeight="251658752" behindDoc="1" locked="0" layoutInCell="0" allowOverlap="1" wp14:anchorId="72F370A5" wp14:editId="5DD75192">
                  <wp:simplePos x="0" y="0"/>
                  <wp:positionH relativeFrom="margin">
                    <wp:align>center</wp:align>
                  </wp:positionH>
                  <wp:positionV relativeFrom="margin">
                    <wp:align>center</wp:align>
                  </wp:positionV>
                  <wp:extent cx="5865495" cy="2513965"/>
                  <wp:effectExtent l="0" t="0" r="0" b="0"/>
                  <wp:wrapNone/>
                  <wp:docPr id="2" name="Text Box 2"/>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5865495" cy="2513965"/>
                          </a:xfrm>
                          <a:prstGeom prst="rect">
                            <a:avLst/>
                          </a:prstGeom>
                        </wps:spPr>
                        <wps:txbx>
                          <w:txbxContent>
                            <w:p w14:paraId="33AA06E5" w14:textId="77777777" w:rsidR="00A244D7" w:rsidRDefault="00A244D7" w:rsidP="00F317F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2F370A5" id="_x0000_t202" coordsize="21600,21600" o:spt="202" path="m,l,21600r21600,l21600,xe">
                  <v:stroke joinstyle="miter"/>
                  <v:path gradientshapeok="t" o:connecttype="rect"/>
                </v:shapetype>
                <v:shape id="Text Box 2" o:spid="_x0000_s1026" type="#_x0000_t202" style="position:absolute;margin-left:0;margin-top:0;width:461.85pt;height:197.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BREFgIAABEEAAAOAAAAZHJzL2Uyb0RvYy54bWysU02P2jAQvVfqf7B8LwFaEESEFd1tt4dt&#13;&#10;i7pUeza2Q7KNPe7YkPDvd2wC9ONWNQfLHo/fvDfzsrjpTMMOGn0NtuCjwZAzbSWo2u4K/n3z8c2M&#13;&#10;Mx+EVaIBqwt+1J7fLF+/WrQu12OooFEaGYFYn7eu4FUILs8yLytthB+A05YuS0AjAh1xlykULaGb&#13;&#10;JhsPh9OsBVQOQWrvKXp3uuTLhF+WWoavZel1YE3BiVtIK6Z1G9dsuRD5DoWratnTEP/AwojaUtEL&#13;&#10;1J0Igu2x/gvK1BLBQxkGEkwGZVlLnTSQmtHwDzWPlXA6aaHmeHdpk/9/sPLL4dGtkYXuPXQ0wCTC&#13;&#10;uweQPzyzcI80kxGn3Teg3qXdbSXsTq+8o+b2oQ+qDmuobSBmKWelnvc+fKK5N/oc698hQltpoX4P&#13;&#10;J6mboyOLJICN7kJEjUeaUdY6n/dc42x97iPrbfsZFD0R+wCJeVeiYZiozubD+KUw9ZmROjLA8TJ0&#13;&#10;KsAkBSez6eTdfMKZpLvxZPR2Pp2kkiKPaHGoDn2412BY3BQcSXiCFYcHHyK7a0pPNbI78QzdtqOU&#13;&#10;SHkL6kikW3Jbwf3PvUBNnd2bWyBzkuoSwTyRnVeYZJ8rb7onga6vHYj2ujm7LRFItlPMChM7oZ4J&#13;&#10;yDRk4oNo2CS14ESxT+7JnlDjWwsral9ZJyVXnr0S8l0S2P8j0di/nlPW9U9evgAAAP//AwBQSwME&#13;&#10;FAAGAAgAAAAhAL6uUZDhAAAACgEAAA8AAABkcnMvZG93bnJldi54bWxMj0FPwkAQhe8m/IfNkHgx&#13;&#10;shUC2tItEQwnuYgcPC7doW3szpbuFqq/npGLXF4yeXlv3pcueluLE7a+cqTgaRSBQMqdqahQsPtc&#13;&#10;P76A8EGT0bUjVPCDHhbZ4C7ViXFn+sDTNhSCS8gnWkEZQpNI6fMSrfYj1yCxd3Ct1YHPtpCm1Wcu&#13;&#10;t7UcR9FMWl0Rfyh1g6sS8+9tZxUUh69jd3zYrN7Xuz5Ht1n+TqulUvfD/m3O8joHEbAP/wn4Y+D9&#13;&#10;kPGwvevIeFErYJpwVfbi8eQZxF7BJJ7GILNU3iJkFwAAAP//AwBQSwECLQAUAAYACAAAACEAtoM4&#13;&#10;kv4AAADhAQAAEwAAAAAAAAAAAAAAAAAAAAAAW0NvbnRlbnRfVHlwZXNdLnhtbFBLAQItABQABgAI&#13;&#10;AAAAIQA4/SH/1gAAAJQBAAALAAAAAAAAAAAAAAAAAC8BAABfcmVscy8ucmVsc1BLAQItABQABgAI&#13;&#10;AAAAIQAbABREFgIAABEEAAAOAAAAAAAAAAAAAAAAAC4CAABkcnMvZTJvRG9jLnhtbFBLAQItABQA&#13;&#10;BgAIAAAAIQC+rlGQ4QAAAAoBAAAPAAAAAAAAAAAAAAAAAHAEAABkcnMvZG93bnJldi54bWxQSwUG&#13;&#10;AAAAAAQABADzAAAAfgUAAAAA&#13;&#10;" o:allowincell="f" filled="f" stroked="f">
                  <o:lock v:ext="edit" rotation="t" aspectratio="t" verticies="t" adjusthandles="t" grouping="t" shapetype="t"/>
                  <v:textbox>
                    <w:txbxContent>
                      <w:p w14:paraId="33AA06E5" w14:textId="77777777" w:rsidR="00A244D7" w:rsidRDefault="00A244D7" w:rsidP="00F317F0">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AD82" w14:textId="77777777" w:rsidR="00A244D7" w:rsidRDefault="00A24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C155" w14:textId="77777777" w:rsidR="00DD5798" w:rsidRDefault="00DD57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D861" w14:textId="77777777" w:rsidR="00DD5798" w:rsidRDefault="00DD57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9BD2" w14:textId="77777777" w:rsidR="00DD5798" w:rsidRDefault="00DD57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5102" w14:textId="77777777" w:rsidR="00DD5798" w:rsidRDefault="00DD5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328"/>
    <w:multiLevelType w:val="hybridMultilevel"/>
    <w:tmpl w:val="31B2DAE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503D"/>
    <w:multiLevelType w:val="hybridMultilevel"/>
    <w:tmpl w:val="B7129E00"/>
    <w:lvl w:ilvl="0" w:tplc="04090001">
      <w:start w:val="1"/>
      <w:numFmt w:val="bullet"/>
      <w:lvlText w:val=""/>
      <w:lvlJc w:val="left"/>
      <w:pPr>
        <w:ind w:left="1260" w:hanging="360"/>
      </w:pPr>
      <w:rPr>
        <w:rFonts w:ascii="Symbol" w:hAnsi="Symbol" w:hint="default"/>
      </w:rPr>
    </w:lvl>
    <w:lvl w:ilvl="1" w:tplc="04090005">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8E245BE"/>
    <w:multiLevelType w:val="hybridMultilevel"/>
    <w:tmpl w:val="8D9CFF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75996"/>
    <w:multiLevelType w:val="hybridMultilevel"/>
    <w:tmpl w:val="07D0F04E"/>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6179C"/>
    <w:multiLevelType w:val="hybridMultilevel"/>
    <w:tmpl w:val="476C60B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3DD1197"/>
    <w:multiLevelType w:val="hybridMultilevel"/>
    <w:tmpl w:val="F47614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154AE5"/>
    <w:multiLevelType w:val="hybridMultilevel"/>
    <w:tmpl w:val="DD2A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C45E4"/>
    <w:multiLevelType w:val="hybridMultilevel"/>
    <w:tmpl w:val="F0EAE8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9A942CE"/>
    <w:multiLevelType w:val="hybridMultilevel"/>
    <w:tmpl w:val="D8360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7522B"/>
    <w:multiLevelType w:val="hybridMultilevel"/>
    <w:tmpl w:val="0002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40674"/>
    <w:multiLevelType w:val="hybridMultilevel"/>
    <w:tmpl w:val="9A0408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53204"/>
    <w:multiLevelType w:val="hybridMultilevel"/>
    <w:tmpl w:val="048A946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80A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6E670A"/>
    <w:multiLevelType w:val="hybridMultilevel"/>
    <w:tmpl w:val="D5441DF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93D51"/>
    <w:multiLevelType w:val="hybridMultilevel"/>
    <w:tmpl w:val="707008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74F1B"/>
    <w:multiLevelType w:val="hybridMultilevel"/>
    <w:tmpl w:val="2E225B0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34C4B"/>
    <w:multiLevelType w:val="hybridMultilevel"/>
    <w:tmpl w:val="3F226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A297A9D"/>
    <w:multiLevelType w:val="hybridMultilevel"/>
    <w:tmpl w:val="4E0A5340"/>
    <w:lvl w:ilvl="0" w:tplc="FFFFFFFF">
      <w:start w:val="1"/>
      <w:numFmt w:val="bullet"/>
      <w:lvlText w:val=""/>
      <w:lvlJc w:val="left"/>
      <w:pPr>
        <w:ind w:left="900" w:hanging="360"/>
      </w:pPr>
      <w:rPr>
        <w:rFonts w:ascii="Symbol" w:hAnsi="Symbol" w:hint="default"/>
      </w:rPr>
    </w:lvl>
    <w:lvl w:ilvl="1" w:tplc="04090005">
      <w:start w:val="1"/>
      <w:numFmt w:val="bullet"/>
      <w:lvlText w:val=""/>
      <w:lvlJc w:val="left"/>
      <w:pPr>
        <w:ind w:left="1620" w:hanging="360"/>
      </w:pPr>
      <w:rPr>
        <w:rFonts w:ascii="Wingdings" w:hAnsi="Wingdings"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num w:numId="1" w16cid:durableId="1073746998">
    <w:abstractNumId w:val="8"/>
  </w:num>
  <w:num w:numId="2" w16cid:durableId="1326277317">
    <w:abstractNumId w:val="13"/>
  </w:num>
  <w:num w:numId="3" w16cid:durableId="403722061">
    <w:abstractNumId w:val="10"/>
  </w:num>
  <w:num w:numId="4" w16cid:durableId="493229214">
    <w:abstractNumId w:val="4"/>
  </w:num>
  <w:num w:numId="5" w16cid:durableId="1239368289">
    <w:abstractNumId w:val="12"/>
  </w:num>
  <w:num w:numId="6" w16cid:durableId="2140754509">
    <w:abstractNumId w:val="14"/>
  </w:num>
  <w:num w:numId="7" w16cid:durableId="1259950500">
    <w:abstractNumId w:val="0"/>
  </w:num>
  <w:num w:numId="8" w16cid:durableId="612907557">
    <w:abstractNumId w:val="1"/>
  </w:num>
  <w:num w:numId="9" w16cid:durableId="1169558960">
    <w:abstractNumId w:val="3"/>
  </w:num>
  <w:num w:numId="10" w16cid:durableId="514459720">
    <w:abstractNumId w:val="13"/>
  </w:num>
  <w:num w:numId="11" w16cid:durableId="82077868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970114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860879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4034048">
    <w:abstractNumId w:val="7"/>
  </w:num>
  <w:num w:numId="15" w16cid:durableId="1717388955">
    <w:abstractNumId w:val="0"/>
  </w:num>
  <w:num w:numId="16" w16cid:durableId="1549024618">
    <w:abstractNumId w:val="4"/>
  </w:num>
  <w:num w:numId="17" w16cid:durableId="1477725769">
    <w:abstractNumId w:val="1"/>
  </w:num>
  <w:num w:numId="18" w16cid:durableId="716661872">
    <w:abstractNumId w:val="9"/>
  </w:num>
  <w:num w:numId="19" w16cid:durableId="408893081">
    <w:abstractNumId w:val="2"/>
  </w:num>
  <w:num w:numId="20" w16cid:durableId="1642734289">
    <w:abstractNumId w:val="6"/>
  </w:num>
  <w:num w:numId="21" w16cid:durableId="493184010">
    <w:abstractNumId w:val="16"/>
  </w:num>
  <w:num w:numId="22" w16cid:durableId="1455246339">
    <w:abstractNumId w:val="5"/>
  </w:num>
  <w:num w:numId="23" w16cid:durableId="1681270250">
    <w:abstractNumId w:val="15"/>
  </w:num>
  <w:num w:numId="24" w16cid:durableId="127284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17"/>
    <w:rsid w:val="0000036C"/>
    <w:rsid w:val="00011023"/>
    <w:rsid w:val="0002167A"/>
    <w:rsid w:val="000315B7"/>
    <w:rsid w:val="00060A81"/>
    <w:rsid w:val="000708A2"/>
    <w:rsid w:val="000742CC"/>
    <w:rsid w:val="00074769"/>
    <w:rsid w:val="000E476E"/>
    <w:rsid w:val="000E770F"/>
    <w:rsid w:val="000E7B1E"/>
    <w:rsid w:val="00184526"/>
    <w:rsid w:val="00192E86"/>
    <w:rsid w:val="001A3036"/>
    <w:rsid w:val="001D6400"/>
    <w:rsid w:val="001E2910"/>
    <w:rsid w:val="001F275F"/>
    <w:rsid w:val="002061AC"/>
    <w:rsid w:val="00214272"/>
    <w:rsid w:val="00244198"/>
    <w:rsid w:val="00255163"/>
    <w:rsid w:val="00273039"/>
    <w:rsid w:val="00276CEE"/>
    <w:rsid w:val="00284C49"/>
    <w:rsid w:val="002A5619"/>
    <w:rsid w:val="002E1D03"/>
    <w:rsid w:val="0031670B"/>
    <w:rsid w:val="00366728"/>
    <w:rsid w:val="00374896"/>
    <w:rsid w:val="0039333A"/>
    <w:rsid w:val="003D0A9F"/>
    <w:rsid w:val="003F1320"/>
    <w:rsid w:val="003F171B"/>
    <w:rsid w:val="00412CF4"/>
    <w:rsid w:val="00432755"/>
    <w:rsid w:val="00433B9C"/>
    <w:rsid w:val="004354AB"/>
    <w:rsid w:val="004355BA"/>
    <w:rsid w:val="00452E1D"/>
    <w:rsid w:val="00457755"/>
    <w:rsid w:val="004B3F96"/>
    <w:rsid w:val="005042C3"/>
    <w:rsid w:val="00511F54"/>
    <w:rsid w:val="00521935"/>
    <w:rsid w:val="00544A82"/>
    <w:rsid w:val="005542AC"/>
    <w:rsid w:val="00555BAE"/>
    <w:rsid w:val="00573905"/>
    <w:rsid w:val="005A36F2"/>
    <w:rsid w:val="005A581C"/>
    <w:rsid w:val="005A6359"/>
    <w:rsid w:val="005B0261"/>
    <w:rsid w:val="005B3EBC"/>
    <w:rsid w:val="005E6682"/>
    <w:rsid w:val="00611E39"/>
    <w:rsid w:val="006223FC"/>
    <w:rsid w:val="006243AB"/>
    <w:rsid w:val="00646761"/>
    <w:rsid w:val="006474DE"/>
    <w:rsid w:val="00647F76"/>
    <w:rsid w:val="00656B7A"/>
    <w:rsid w:val="00660FB1"/>
    <w:rsid w:val="00661B1D"/>
    <w:rsid w:val="00666453"/>
    <w:rsid w:val="006729F1"/>
    <w:rsid w:val="006802EB"/>
    <w:rsid w:val="00697298"/>
    <w:rsid w:val="006B7555"/>
    <w:rsid w:val="006D6F6F"/>
    <w:rsid w:val="006F0F01"/>
    <w:rsid w:val="006F277C"/>
    <w:rsid w:val="007037B8"/>
    <w:rsid w:val="0075532A"/>
    <w:rsid w:val="007675F9"/>
    <w:rsid w:val="007705D6"/>
    <w:rsid w:val="007B61D2"/>
    <w:rsid w:val="007C65EE"/>
    <w:rsid w:val="007E5ED2"/>
    <w:rsid w:val="007F45CE"/>
    <w:rsid w:val="007F7D2A"/>
    <w:rsid w:val="00814308"/>
    <w:rsid w:val="008220DD"/>
    <w:rsid w:val="008358D3"/>
    <w:rsid w:val="00842911"/>
    <w:rsid w:val="00854BBB"/>
    <w:rsid w:val="0086550E"/>
    <w:rsid w:val="00875851"/>
    <w:rsid w:val="008A66FD"/>
    <w:rsid w:val="008B569B"/>
    <w:rsid w:val="009052EF"/>
    <w:rsid w:val="00905391"/>
    <w:rsid w:val="009162F3"/>
    <w:rsid w:val="009711FF"/>
    <w:rsid w:val="009B05E2"/>
    <w:rsid w:val="009B1AC6"/>
    <w:rsid w:val="009B31B6"/>
    <w:rsid w:val="009D6F53"/>
    <w:rsid w:val="00A0726A"/>
    <w:rsid w:val="00A2013B"/>
    <w:rsid w:val="00A244D7"/>
    <w:rsid w:val="00A82417"/>
    <w:rsid w:val="00AA40AB"/>
    <w:rsid w:val="00AA7795"/>
    <w:rsid w:val="00AC2727"/>
    <w:rsid w:val="00AE0625"/>
    <w:rsid w:val="00AE44FE"/>
    <w:rsid w:val="00B05FEF"/>
    <w:rsid w:val="00B24F99"/>
    <w:rsid w:val="00B37911"/>
    <w:rsid w:val="00B51640"/>
    <w:rsid w:val="00B532B8"/>
    <w:rsid w:val="00B557A2"/>
    <w:rsid w:val="00BA0676"/>
    <w:rsid w:val="00C26A5C"/>
    <w:rsid w:val="00C270C9"/>
    <w:rsid w:val="00C8089B"/>
    <w:rsid w:val="00C82D40"/>
    <w:rsid w:val="00C928D3"/>
    <w:rsid w:val="00CA2DFF"/>
    <w:rsid w:val="00CE48B8"/>
    <w:rsid w:val="00D06E34"/>
    <w:rsid w:val="00D50776"/>
    <w:rsid w:val="00D773D4"/>
    <w:rsid w:val="00D90C73"/>
    <w:rsid w:val="00D949C7"/>
    <w:rsid w:val="00DA427B"/>
    <w:rsid w:val="00DC2317"/>
    <w:rsid w:val="00DD5798"/>
    <w:rsid w:val="00E01202"/>
    <w:rsid w:val="00E02E26"/>
    <w:rsid w:val="00E161DE"/>
    <w:rsid w:val="00E26531"/>
    <w:rsid w:val="00E737AB"/>
    <w:rsid w:val="00E85A1C"/>
    <w:rsid w:val="00E87375"/>
    <w:rsid w:val="00EC48E1"/>
    <w:rsid w:val="00EC63B7"/>
    <w:rsid w:val="00EE25F3"/>
    <w:rsid w:val="00EF583C"/>
    <w:rsid w:val="00F236AF"/>
    <w:rsid w:val="00F3047C"/>
    <w:rsid w:val="00F57335"/>
    <w:rsid w:val="00F7073F"/>
    <w:rsid w:val="00F878F9"/>
    <w:rsid w:val="00F916A6"/>
    <w:rsid w:val="00F926DE"/>
    <w:rsid w:val="00F935E7"/>
    <w:rsid w:val="00FC4A26"/>
    <w:rsid w:val="00FF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CB6AE"/>
  <w15:docId w15:val="{F5FC9E34-E42C-4FA3-A4D7-817AB760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417"/>
    <w:pPr>
      <w:ind w:left="720"/>
      <w:contextualSpacing/>
    </w:pPr>
  </w:style>
  <w:style w:type="paragraph" w:styleId="Header">
    <w:name w:val="header"/>
    <w:basedOn w:val="Normal"/>
    <w:link w:val="HeaderChar"/>
    <w:uiPriority w:val="99"/>
    <w:unhideWhenUsed/>
    <w:rsid w:val="006B7555"/>
    <w:pPr>
      <w:tabs>
        <w:tab w:val="center" w:pos="4680"/>
        <w:tab w:val="right" w:pos="9360"/>
      </w:tabs>
    </w:pPr>
  </w:style>
  <w:style w:type="character" w:customStyle="1" w:styleId="HeaderChar">
    <w:name w:val="Header Char"/>
    <w:basedOn w:val="DefaultParagraphFont"/>
    <w:link w:val="Header"/>
    <w:uiPriority w:val="99"/>
    <w:rsid w:val="006B7555"/>
  </w:style>
  <w:style w:type="paragraph" w:styleId="Footer">
    <w:name w:val="footer"/>
    <w:basedOn w:val="Normal"/>
    <w:link w:val="FooterChar"/>
    <w:uiPriority w:val="99"/>
    <w:unhideWhenUsed/>
    <w:rsid w:val="006B7555"/>
    <w:pPr>
      <w:tabs>
        <w:tab w:val="center" w:pos="4680"/>
        <w:tab w:val="right" w:pos="9360"/>
      </w:tabs>
    </w:pPr>
  </w:style>
  <w:style w:type="character" w:customStyle="1" w:styleId="FooterChar">
    <w:name w:val="Footer Char"/>
    <w:basedOn w:val="DefaultParagraphFont"/>
    <w:link w:val="Footer"/>
    <w:uiPriority w:val="99"/>
    <w:rsid w:val="006B7555"/>
  </w:style>
  <w:style w:type="paragraph" w:styleId="BalloonText">
    <w:name w:val="Balloon Text"/>
    <w:basedOn w:val="Normal"/>
    <w:link w:val="BalloonTextChar"/>
    <w:uiPriority w:val="99"/>
    <w:semiHidden/>
    <w:unhideWhenUsed/>
    <w:rsid w:val="00C26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5C"/>
    <w:rPr>
      <w:rFonts w:ascii="Segoe UI" w:hAnsi="Segoe UI" w:cs="Segoe UI"/>
      <w:sz w:val="18"/>
      <w:szCs w:val="18"/>
    </w:rPr>
  </w:style>
  <w:style w:type="paragraph" w:customStyle="1" w:styleId="Default">
    <w:name w:val="Default"/>
    <w:rsid w:val="00A244D7"/>
    <w:pPr>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38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3557</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ezillig</dc:creator>
  <cp:lastModifiedBy>Sheila McCauley</cp:lastModifiedBy>
  <cp:revision>2</cp:revision>
  <cp:lastPrinted>2017-05-23T15:17:00Z</cp:lastPrinted>
  <dcterms:created xsi:type="dcterms:W3CDTF">2024-09-25T14:48:00Z</dcterms:created>
  <dcterms:modified xsi:type="dcterms:W3CDTF">2024-09-25T14:48:00Z</dcterms:modified>
</cp:coreProperties>
</file>